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38DA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2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22"/>
          <w:highlight w:val="none"/>
        </w:rPr>
        <w:t>附件2</w:t>
      </w:r>
    </w:p>
    <w:p w14:paraId="52BF662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0"/>
        <w:jc w:val="both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</w:rPr>
      </w:pPr>
    </w:p>
    <w:p w14:paraId="6C499D1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</w:rPr>
        <w:t>XX市（州）</w:t>
      </w:r>
      <w:bookmarkStart w:id="0" w:name="_Hlk237443533"/>
    </w:p>
    <w:p w14:paraId="14D1188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</w:rPr>
        <w:t>电网侧</w:t>
      </w:r>
      <w:r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  <w:lang w:eastAsia="zh-CN"/>
        </w:rPr>
        <w:t>独立</w:t>
      </w:r>
      <w:r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</w:rPr>
        <w:t>新型储能布局方案</w:t>
      </w:r>
    </w:p>
    <w:p w14:paraId="1458FCE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楷体_GB2312" w:cs="Times New Roman"/>
          <w:bCs/>
          <w:color w:val="000000"/>
          <w:kern w:val="2"/>
          <w:sz w:val="32"/>
          <w:szCs w:val="32"/>
          <w:highlight w:val="none"/>
        </w:rPr>
        <w:t>（模板）</w:t>
      </w:r>
      <w:bookmarkEnd w:id="0"/>
    </w:p>
    <w:p w14:paraId="325CA6B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  <w:highlight w:val="none"/>
        </w:rPr>
      </w:pPr>
    </w:p>
    <w:p w14:paraId="08A6C48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落实《四川省新型储能项目建设三年行动方案》要求，为支撑新能源高水平消纳，保障电网安全稳定运行，结合本地电力供需、网架结构、负荷增长、新能源装机、资源禀赋和产业发展实际，编制新型储能布局方案。</w:t>
      </w:r>
    </w:p>
    <w:p w14:paraId="3FF76C8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  <w:t>一、发展现状</w:t>
      </w:r>
    </w:p>
    <w:p w14:paraId="26E7646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梳理本地区电力供需、电网网架、主变重载、局部卡口、新能源规模等电力系统运行基本情况和新型储能、煤电、气电、抽蓄等电力系统调节资源基本情况。</w:t>
      </w:r>
    </w:p>
    <w:p w14:paraId="6CEF90D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  <w:t>二、需求预测</w:t>
      </w:r>
    </w:p>
    <w:p w14:paraId="13AB37F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基于迎峰度夏（冬）电力保供、负荷中心供电支撑、新能源建设及消纳、系统调峰调频、电压支撑、局部电网补强等需求，统筹评估本地区各类调节资源规模、性能、运行方式和可调用水平，分析现有调节能力与系统运行需求的匹配情况，提出本地区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eastAsia="zh-CN"/>
        </w:rPr>
        <w:t>未来三年电网侧独立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新型储能发展需求预测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eastAsia="zh-CN"/>
        </w:rPr>
        <w:t>。</w:t>
      </w:r>
    </w:p>
    <w:p w14:paraId="1E3A35B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  <w:t>三、布局方案</w:t>
      </w:r>
    </w:p>
    <w:p w14:paraId="1C20D56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立足当地电网运行、负荷变化、系统调节需求、土地配套情况和产业基础，科学提出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eastAsia="zh-CN"/>
        </w:rPr>
        <w:t>本地区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电网侧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eastAsia="zh-CN"/>
        </w:rPr>
        <w:t>独立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新型储能布局方案，明确储能电站数量、建设规模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eastAsia="zh-CN"/>
        </w:rPr>
        <w:t>（含装机、容量）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、技术路线、接入变电站、电压等级、站址条件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eastAsia="zh-CN"/>
        </w:rPr>
        <w:t>、建设时序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等。</w:t>
      </w:r>
    </w:p>
    <w:p w14:paraId="3633419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  <w:t>四、安全管理</w:t>
      </w:r>
      <w:bookmarkStart w:id="1" w:name="_GoBack"/>
      <w:bookmarkEnd w:id="1"/>
    </w:p>
    <w:p w14:paraId="109651E7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明确建立储能电站全生命周期安全跟踪机制，提出本地区电网侧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eastAsia="zh-CN"/>
        </w:rPr>
        <w:t>独立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新型储能项目安全管理的相关措施，重点包括项目选址、建设施工、并网验收、消防管理、运行维护、应急处置等环节的安全要求，以及与应急管理、消防救援、电网企业等相关单位联合开展监督检查、隐患整改的工作安排等。</w:t>
      </w:r>
    </w:p>
    <w:p w14:paraId="52FA25E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</w:rPr>
        <w:t>五、保障</w:t>
      </w:r>
      <w:r>
        <w:rPr>
          <w:rFonts w:hint="default" w:ascii="Times New Roman" w:hAnsi="Times New Roman" w:eastAsia="黑体" w:cs="Times New Roman"/>
          <w:color w:val="000000"/>
          <w:kern w:val="44"/>
          <w:sz w:val="32"/>
          <w:szCs w:val="44"/>
          <w:highlight w:val="none"/>
          <w:lang w:eastAsia="zh-CN"/>
        </w:rPr>
        <w:t>措施</w:t>
      </w:r>
    </w:p>
    <w:p w14:paraId="701C1B7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提出组织协调、规划衔接、要素保障等措施，并配合做好后续电网侧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eastAsia="zh-CN"/>
        </w:rPr>
        <w:t>独立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2"/>
          <w:highlight w:val="none"/>
        </w:rPr>
        <w:t>新型储能项目滚动清单管理和实施情况监管。</w:t>
      </w:r>
    </w:p>
    <w:p w14:paraId="4C1CEEE1">
      <w:pPr>
        <w:suppressAutoHyphens/>
        <w:bidi w:val="0"/>
        <w:spacing w:line="240" w:lineRule="auto"/>
        <w:ind w:firstLine="0"/>
        <w:jc w:val="both"/>
        <w:rPr>
          <w:rFonts w:ascii="Calibri" w:hAnsi="Calibri" w:eastAsia="宋体" w:cs="Times New Roman"/>
          <w:color w:val="auto"/>
          <w:kern w:val="2"/>
          <w:sz w:val="21"/>
          <w:szCs w:val="24"/>
        </w:rPr>
      </w:pPr>
    </w:p>
    <w:p w14:paraId="673665A3">
      <w:pPr>
        <w:rPr>
          <w:rFonts w:hint="default"/>
        </w:rPr>
      </w:pPr>
    </w:p>
    <w:sectPr>
      <w:footerReference r:id="rId5" w:type="default"/>
      <w:pgSz w:w="11906" w:h="16838"/>
      <w:pgMar w:top="2098" w:right="1587" w:bottom="1984" w:left="1587" w:header="851" w:footer="992" w:gutter="0"/>
      <w:pgNumType w:fmt="decimal"/>
      <w:cols w:space="425" w:num="1"/>
      <w:docGrid w:type="lines" w:linePitch="36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文泉驿微米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Times New Roman (标题 CS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简体">
    <w:altName w:val="仿宋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08C4A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EDB07A">
                          <w:pPr>
                            <w:pStyle w:val="13"/>
                            <w:ind w:left="0" w:leftChars="0" w:firstLine="0" w:firstLineChars="0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EDB07A">
                    <w:pPr>
                      <w:pStyle w:val="13"/>
                      <w:ind w:left="0" w:leftChars="0" w:firstLine="0" w:firstLineChars="0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24518E"/>
    <w:multiLevelType w:val="multilevel"/>
    <w:tmpl w:val="2324518E"/>
    <w:lvl w:ilvl="0" w:tentative="0">
      <w:start w:val="1"/>
      <w:numFmt w:val="decimal"/>
      <w:pStyle w:val="3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35"/>
  <w:drawingGridVerticalSpacing w:val="367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688"/>
    <w:rsid w:val="000D41F9"/>
    <w:rsid w:val="00177B20"/>
    <w:rsid w:val="001A1483"/>
    <w:rsid w:val="002C7641"/>
    <w:rsid w:val="003123B1"/>
    <w:rsid w:val="00340A77"/>
    <w:rsid w:val="003413F8"/>
    <w:rsid w:val="00452E9C"/>
    <w:rsid w:val="00483DCF"/>
    <w:rsid w:val="004A3826"/>
    <w:rsid w:val="004A60A7"/>
    <w:rsid w:val="00507663"/>
    <w:rsid w:val="00525B61"/>
    <w:rsid w:val="00550D46"/>
    <w:rsid w:val="00565B01"/>
    <w:rsid w:val="005B6688"/>
    <w:rsid w:val="005C23AA"/>
    <w:rsid w:val="00670342"/>
    <w:rsid w:val="00675C96"/>
    <w:rsid w:val="006D5687"/>
    <w:rsid w:val="006F5325"/>
    <w:rsid w:val="00703134"/>
    <w:rsid w:val="00715C73"/>
    <w:rsid w:val="007219B8"/>
    <w:rsid w:val="007F6B0A"/>
    <w:rsid w:val="00863075"/>
    <w:rsid w:val="008A6BAC"/>
    <w:rsid w:val="00934202"/>
    <w:rsid w:val="009748D9"/>
    <w:rsid w:val="0099338D"/>
    <w:rsid w:val="00A4245C"/>
    <w:rsid w:val="00A56CCA"/>
    <w:rsid w:val="00A62A81"/>
    <w:rsid w:val="00A92D44"/>
    <w:rsid w:val="00B26493"/>
    <w:rsid w:val="00B419F8"/>
    <w:rsid w:val="00BA49B9"/>
    <w:rsid w:val="00BD471A"/>
    <w:rsid w:val="00C24F56"/>
    <w:rsid w:val="00C37DE6"/>
    <w:rsid w:val="00D313DA"/>
    <w:rsid w:val="00E069BD"/>
    <w:rsid w:val="00E40117"/>
    <w:rsid w:val="00ED7DE6"/>
    <w:rsid w:val="09277590"/>
    <w:rsid w:val="0A393F55"/>
    <w:rsid w:val="19184FDE"/>
    <w:rsid w:val="1FDF1BA3"/>
    <w:rsid w:val="20ED3304"/>
    <w:rsid w:val="349E3A83"/>
    <w:rsid w:val="53DC2581"/>
    <w:rsid w:val="673F8797"/>
    <w:rsid w:val="6FFDC6BC"/>
    <w:rsid w:val="EDFFC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540"/>
    </w:pPr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numPr>
        <w:ilvl w:val="0"/>
        <w:numId w:val="1"/>
      </w:numPr>
      <w:jc w:val="center"/>
      <w:outlineLvl w:val="0"/>
    </w:pPr>
    <w:rPr>
      <w:rFonts w:ascii="Times New Roman" w:hAnsi="Times New Roman" w:eastAsia="方正仿宋_GBK" w:cs="Times New Roman (标题 CS)"/>
      <w:b/>
      <w:sz w:val="30"/>
      <w:szCs w:val="48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ind w:firstLine="200" w:firstLineChars="200"/>
      <w:outlineLvl w:val="1"/>
    </w:pPr>
    <w:rPr>
      <w:rFonts w:ascii="Times New Roman" w:hAnsi="Times New Roman" w:eastAsia="方正仿宋_GBK" w:cs="Times New Roman (标题 CS)"/>
      <w:b/>
      <w:sz w:val="28"/>
      <w:szCs w:val="40"/>
    </w:rPr>
  </w:style>
  <w:style w:type="paragraph" w:styleId="5">
    <w:name w:val="heading 3"/>
    <w:basedOn w:val="1"/>
    <w:next w:val="1"/>
    <w:link w:val="23"/>
    <w:unhideWhenUsed/>
    <w:qFormat/>
    <w:uiPriority w:val="9"/>
    <w:pPr>
      <w:keepNext/>
      <w:keepLines/>
      <w:numPr>
        <w:ilvl w:val="2"/>
        <w:numId w:val="1"/>
      </w:numPr>
      <w:outlineLvl w:val="2"/>
    </w:pPr>
    <w:rPr>
      <w:rFonts w:ascii="Times New Roman" w:hAnsi="Times New Roman" w:eastAsia="方正仿宋_GBK" w:cs="Times New Roman (标题 CS)"/>
      <w:b/>
      <w:sz w:val="28"/>
      <w:szCs w:val="32"/>
    </w:rPr>
  </w:style>
  <w:style w:type="paragraph" w:styleId="6">
    <w:name w:val="heading 4"/>
    <w:basedOn w:val="1"/>
    <w:next w:val="1"/>
    <w:link w:val="24"/>
    <w:unhideWhenUsed/>
    <w:qFormat/>
    <w:uiPriority w:val="9"/>
    <w:pPr>
      <w:keepNext/>
      <w:keepLines/>
      <w:numPr>
        <w:ilvl w:val="3"/>
        <w:numId w:val="1"/>
      </w:numPr>
      <w:outlineLvl w:val="3"/>
    </w:pPr>
    <w:rPr>
      <w:rFonts w:ascii="方正仿宋_GBK" w:hAnsi="方正仿宋_GBK" w:eastAsia="方正仿宋_GBK" w:cs="Times New Roman (标题 CS)"/>
      <w:b/>
      <w:sz w:val="24"/>
      <w:szCs w:val="28"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eastAsia="宋体"/>
      <w:sz w:val="21"/>
    </w:rPr>
  </w:style>
  <w:style w:type="paragraph" w:styleId="12">
    <w:name w:val="annotation text"/>
    <w:basedOn w:val="1"/>
    <w:semiHidden/>
    <w:unhideWhenUsed/>
    <w:qFormat/>
    <w:uiPriority w:val="99"/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="Times New Roman" w:hAnsi="Times New Roman" w:eastAsia="方正仿宋_GBK" w:cs="Times New Roman (标题 CS)"/>
      <w:b/>
      <w:spacing w:val="-10"/>
      <w:kern w:val="28"/>
      <w:sz w:val="36"/>
      <w:szCs w:val="56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1">
    <w:name w:val="标题 2 字符"/>
    <w:basedOn w:val="19"/>
    <w:link w:val="4"/>
    <w:qFormat/>
    <w:uiPriority w:val="9"/>
    <w:rPr>
      <w:rFonts w:ascii="Times New Roman" w:hAnsi="Times New Roman" w:eastAsia="方正仿宋_GBK" w:cs="Times New Roman (标题 CS)"/>
      <w:b/>
      <w:color w:val="333333"/>
      <w:kern w:val="0"/>
      <w:sz w:val="28"/>
      <w:szCs w:val="40"/>
      <w14:ligatures w14:val="none"/>
    </w:rPr>
  </w:style>
  <w:style w:type="character" w:customStyle="1" w:styleId="22">
    <w:name w:val="标题 1 字符"/>
    <w:basedOn w:val="19"/>
    <w:link w:val="3"/>
    <w:qFormat/>
    <w:uiPriority w:val="9"/>
    <w:rPr>
      <w:rFonts w:ascii="Times New Roman" w:hAnsi="Times New Roman" w:eastAsia="方正仿宋_GBK" w:cs="Times New Roman (标题 CS)"/>
      <w:b/>
      <w:sz w:val="30"/>
      <w:szCs w:val="48"/>
    </w:rPr>
  </w:style>
  <w:style w:type="character" w:customStyle="1" w:styleId="23">
    <w:name w:val="标题 3 字符"/>
    <w:basedOn w:val="19"/>
    <w:link w:val="5"/>
    <w:qFormat/>
    <w:uiPriority w:val="9"/>
    <w:rPr>
      <w:rFonts w:ascii="Times New Roman" w:hAnsi="Times New Roman" w:eastAsia="方正仿宋_GBK" w:cs="Times New Roman (标题 CS)"/>
      <w:b/>
      <w:sz w:val="28"/>
      <w:szCs w:val="32"/>
    </w:rPr>
  </w:style>
  <w:style w:type="character" w:customStyle="1" w:styleId="24">
    <w:name w:val="标题 4 字符"/>
    <w:basedOn w:val="19"/>
    <w:link w:val="6"/>
    <w:qFormat/>
    <w:uiPriority w:val="9"/>
    <w:rPr>
      <w:rFonts w:ascii="方正仿宋_GBK" w:hAnsi="方正仿宋_GBK" w:eastAsia="方正仿宋_GBK" w:cs="Times New Roman (标题 CS)"/>
      <w:b/>
      <w:sz w:val="24"/>
      <w:szCs w:val="28"/>
    </w:rPr>
  </w:style>
  <w:style w:type="paragraph" w:customStyle="1" w:styleId="25">
    <w:name w:val="正文首行缩进1"/>
    <w:basedOn w:val="1"/>
    <w:qFormat/>
    <w:uiPriority w:val="0"/>
    <w:pPr>
      <w:ind w:firstLine="200" w:firstLineChars="200"/>
      <w:jc w:val="both"/>
    </w:pPr>
    <w:rPr>
      <w:rFonts w:ascii="Times New Roman" w:hAnsi="Times New Roman" w:eastAsia="方正仿宋简体"/>
      <w:bCs/>
      <w:kern w:val="36"/>
      <w:sz w:val="28"/>
      <w:szCs w:val="48"/>
    </w:rPr>
  </w:style>
  <w:style w:type="character" w:customStyle="1" w:styleId="26">
    <w:name w:val="标题 5 字符"/>
    <w:basedOn w:val="19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7">
    <w:name w:val="标题 6 字符"/>
    <w:basedOn w:val="19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6"/>
    <w:qFormat/>
    <w:uiPriority w:val="10"/>
    <w:rPr>
      <w:rFonts w:ascii="Times New Roman" w:hAnsi="Times New Roman" w:eastAsia="方正仿宋_GBK" w:cs="Times New Roman (标题 CS)"/>
      <w:b/>
      <w:spacing w:val="-10"/>
      <w:kern w:val="28"/>
      <w:sz w:val="36"/>
      <w:szCs w:val="56"/>
    </w:rPr>
  </w:style>
  <w:style w:type="character" w:customStyle="1" w:styleId="32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修订1"/>
    <w:hidden/>
    <w:unhideWhenUsed/>
    <w:qFormat/>
    <w:uiPriority w:val="99"/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  <w:style w:type="paragraph" w:customStyle="1" w:styleId="41">
    <w:name w:val="Revision"/>
    <w:hidden/>
    <w:unhideWhenUsed/>
    <w:qFormat/>
    <w:uiPriority w:val="99"/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1654</Words>
  <Characters>1654</Characters>
  <Lines>29</Lines>
  <Paragraphs>20</Paragraphs>
  <TotalTime>0</TotalTime>
  <ScaleCrop>false</ScaleCrop>
  <LinksUpToDate>false</LinksUpToDate>
  <CharactersWithSpaces>1654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2026-07-04T09:51:00Z</dcterms:created>
  <dc:creator>远苹 孙</dc:creator>
  <cp:lastModifiedBy>lenovo</cp:lastModifiedBy>
  <dcterms:modified xsi:type="dcterms:W3CDTF">2026-11-04T16:51:58Z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eyJoZGlkIjoiOTEwMDcyNDdlY2M5ZGNlZWZhYjE0OTU5YmU1MDRiOTAiLCJ1c2VySWQiOiIzNDU0ODE1In0=</vt:lpwstr>
  </property>
  <property fmtid="{D5CDD505-2E9C-101B-9397-08002B2CF9AE}" pid="3" name="KSOProductBuildVer">
    <vt:lpwstr>2052-12.1.2.22550</vt:lpwstr>
  </property>
  <property fmtid="{D5CDD505-2E9C-101B-9397-08002B2CF9AE}" pid="4" name="ICV">
    <vt:lpwstr>4A31F01383CB4F22A33943386D139527_13</vt:lpwstr>
  </property>
</Properties>
</file>